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E4" w:rsidRPr="00C030A6" w:rsidRDefault="00724CE4" w:rsidP="00F2139D">
      <w:pPr>
        <w:rPr>
          <w:i/>
        </w:rPr>
      </w:pPr>
      <w:r w:rsidRPr="0009444F">
        <w:t>Título de la Tesis:</w:t>
      </w:r>
      <w:r>
        <w:t xml:space="preserve"> </w:t>
      </w:r>
      <w:r w:rsidR="00251AA2">
        <w:t>“Evaluación de la eficacia de un biorreactor prototipo para la producción de Bacterias Promotoras del Crecimiento Vegetal”</w:t>
      </w:r>
    </w:p>
    <w:p w:rsidR="00F50BD6" w:rsidRDefault="00F50BD6" w:rsidP="00724CE4">
      <w:bookmarkStart w:id="0" w:name="_GoBack"/>
      <w:bookmarkEnd w:id="0"/>
    </w:p>
    <w:p w:rsidR="00C05473" w:rsidRDefault="00C05473" w:rsidP="00C05473">
      <w:pPr>
        <w:jc w:val="center"/>
      </w:pPr>
      <w:r>
        <w:t>RESUMEN</w:t>
      </w:r>
    </w:p>
    <w:p w:rsidR="00F07BBE" w:rsidRDefault="00C05473" w:rsidP="00922906">
      <w:pPr>
        <w:jc w:val="both"/>
      </w:pPr>
      <w:r>
        <w:t xml:space="preserve">El uso de microorganismos como inóculos bacterianos para su uso como </w:t>
      </w:r>
      <w:proofErr w:type="spellStart"/>
      <w:r>
        <w:t>biofertilizantes</w:t>
      </w:r>
      <w:proofErr w:type="spellEnd"/>
      <w:r>
        <w:t xml:space="preserve"> en cultivos agrícolas se ha incrementado en las últimas décadas, siendo los factores clave para la producción de estos microorganismos la calidad y eficiencia de los inóculos. Estos inóculos bacterianos son cultivados en biorreactores o sistemas que permitan el control y un ambiente </w:t>
      </w:r>
      <w:proofErr w:type="spellStart"/>
      <w:r>
        <w:t>axénico</w:t>
      </w:r>
      <w:proofErr w:type="spellEnd"/>
      <w:r>
        <w:t xml:space="preserve">. El objetivo del presente trabajo fue diseñar un biorreactor prototipo para el crecimiento y la producción efectiva de bacterias promotoras de crecimiento vegetal (PGPB): </w:t>
      </w:r>
      <w:proofErr w:type="spellStart"/>
      <w:r>
        <w:t>Sinorhizobium</w:t>
      </w:r>
      <w:proofErr w:type="spellEnd"/>
      <w:r>
        <w:t xml:space="preserve"> </w:t>
      </w:r>
      <w:proofErr w:type="spellStart"/>
      <w:r>
        <w:t>mexicanum</w:t>
      </w:r>
      <w:proofErr w:type="spellEnd"/>
      <w:r>
        <w:t xml:space="preserve"> ITTG R7, </w:t>
      </w:r>
      <w:proofErr w:type="spellStart"/>
      <w:r>
        <w:t>Sinorhizobium</w:t>
      </w:r>
      <w:proofErr w:type="spellEnd"/>
      <w:r>
        <w:t xml:space="preserve"> </w:t>
      </w:r>
      <w:proofErr w:type="spellStart"/>
      <w:r>
        <w:t>chiapanecum</w:t>
      </w:r>
      <w:proofErr w:type="spellEnd"/>
      <w:r>
        <w:t xml:space="preserve"> ITTG S70, y </w:t>
      </w:r>
      <w:proofErr w:type="spellStart"/>
      <w:r>
        <w:t>Rhizobium</w:t>
      </w:r>
      <w:proofErr w:type="spellEnd"/>
      <w:r>
        <w:t xml:space="preserve"> </w:t>
      </w:r>
      <w:proofErr w:type="spellStart"/>
      <w:r>
        <w:t>sp</w:t>
      </w:r>
      <w:proofErr w:type="spellEnd"/>
      <w:r>
        <w:t>. ACO 34A. Para tal efecto, se realizó bancos maestros bacterianos para mantener la calidad y viabilidad celular de las cepas bacterianas PGPB, posteriormente, se evaluó el potencial de crecimiento y producción de las cepas bacterianas a través de cinéticas de crecimiento a nivel de matraz con agitación mecánica, para ello, se realizó un diseño factorial completo, donde se evaluó los siguientes factores: Factor (A): agitación mecánica (120, 200 y 300 rpm) y el Factor (B): medio de cultivo (Y-Ca+2 , PY-Ca+2 y YEM), siendo la variable de respuesta la µ</w:t>
      </w:r>
      <w:proofErr w:type="spellStart"/>
      <w:r>
        <w:t>max</w:t>
      </w:r>
      <w:proofErr w:type="spellEnd"/>
      <w:r>
        <w:t xml:space="preserve">. Las mejores condiciones de crecimiento en matraz demostraron ser para </w:t>
      </w:r>
      <w:proofErr w:type="spellStart"/>
      <w:r>
        <w:t>Rhizobium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. ACO 34A [medio YEM + 200 rpm agitación], </w:t>
      </w:r>
      <w:proofErr w:type="spellStart"/>
      <w:r>
        <w:t>Sinorhizobium</w:t>
      </w:r>
      <w:proofErr w:type="spellEnd"/>
      <w:r>
        <w:t xml:space="preserve"> </w:t>
      </w:r>
      <w:proofErr w:type="spellStart"/>
      <w:r>
        <w:t>mexicanum</w:t>
      </w:r>
      <w:proofErr w:type="spellEnd"/>
      <w:r>
        <w:t xml:space="preserve"> ITTG R7, [Y-Ca+2 + 300 rpm] y S. </w:t>
      </w:r>
      <w:proofErr w:type="spellStart"/>
      <w:r>
        <w:t>chiapanecum</w:t>
      </w:r>
      <w:proofErr w:type="spellEnd"/>
      <w:r>
        <w:t xml:space="preserve"> ITTG S70 [Y-Ca+2 + 200 rpm]. El diseño para la construcción del biorreactor y sus componentes se realizó mediante el software </w:t>
      </w:r>
      <w:proofErr w:type="spellStart"/>
      <w:r>
        <w:t>SolidWorks</w:t>
      </w:r>
      <w:proofErr w:type="spellEnd"/>
      <w:r>
        <w:t xml:space="preserve">®. Para la construcción del biorreactor se </w:t>
      </w:r>
      <w:proofErr w:type="spellStart"/>
      <w:r>
        <w:t>decidio</w:t>
      </w:r>
      <w:proofErr w:type="spellEnd"/>
      <w:r>
        <w:t xml:space="preserve"> usar la resina PHROZEN TR300, la cual cumple con las especificaciones de resistencia a la alta temperatura y presión. Finalmente, se evaluó la eficiencia del prototipo del biorreactor con base en la efectividad e infectividad de las cepas bacterianas PGPB mediante pruebas de inoculación en plantas de frijol común (</w:t>
      </w:r>
      <w:proofErr w:type="spellStart"/>
      <w:r>
        <w:t>Phaseolus</w:t>
      </w:r>
      <w:proofErr w:type="spellEnd"/>
      <w:r>
        <w:t xml:space="preserve"> </w:t>
      </w:r>
      <w:proofErr w:type="spellStart"/>
      <w:r>
        <w:t>vulgaris</w:t>
      </w:r>
      <w:proofErr w:type="spellEnd"/>
      <w:r>
        <w:t xml:space="preserve">) cultivadas bajo condiciones de cámara bioclimática, los parámetros </w:t>
      </w:r>
      <w:proofErr w:type="spellStart"/>
      <w:r>
        <w:t>morfométricos</w:t>
      </w:r>
      <w:proofErr w:type="spellEnd"/>
      <w:r>
        <w:t xml:space="preserve"> evaluados fueron peso fresco de planta, peso total de raíz, número de nódulos, contenido de clorofila y contenido de nitrógeno total. El análisis de comparación de las medias de </w:t>
      </w:r>
      <w:proofErr w:type="spellStart"/>
      <w:r>
        <w:t>Tukey</w:t>
      </w:r>
      <w:proofErr w:type="spellEnd"/>
      <w:r>
        <w:t xml:space="preserve"> (HSD p</w:t>
      </w:r>
    </w:p>
    <w:sectPr w:rsidR="00F07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E4"/>
    <w:rsid w:val="002073FF"/>
    <w:rsid w:val="00251AA2"/>
    <w:rsid w:val="004573D5"/>
    <w:rsid w:val="00544DA5"/>
    <w:rsid w:val="00627AC2"/>
    <w:rsid w:val="0065568C"/>
    <w:rsid w:val="00724CE4"/>
    <w:rsid w:val="007276A9"/>
    <w:rsid w:val="00922906"/>
    <w:rsid w:val="00925D3B"/>
    <w:rsid w:val="00BD4A3A"/>
    <w:rsid w:val="00C05473"/>
    <w:rsid w:val="00F2139D"/>
    <w:rsid w:val="00F5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5777B"/>
  <w15:chartTrackingRefBased/>
  <w15:docId w15:val="{9E92CD73-0D15-4C0A-9FEB-00E6129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2</cp:revision>
  <cp:lastPrinted>2023-11-16T16:41:00Z</cp:lastPrinted>
  <dcterms:created xsi:type="dcterms:W3CDTF">2024-06-28T16:26:00Z</dcterms:created>
  <dcterms:modified xsi:type="dcterms:W3CDTF">2024-06-28T16:26:00Z</dcterms:modified>
</cp:coreProperties>
</file>